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FC7B1" w14:textId="107DFC64" w:rsidR="004230CD" w:rsidRPr="009E3CB3" w:rsidRDefault="00601221" w:rsidP="002F1589">
      <w:pPr>
        <w:jc w:val="center"/>
        <w:rPr>
          <w:rFonts w:ascii="Nunito" w:hAnsi="Nunito"/>
          <w:b/>
          <w:bCs/>
          <w:color w:val="156082" w:themeColor="accent1"/>
        </w:rPr>
      </w:pPr>
      <w:r w:rsidRPr="009E3CB3">
        <w:rPr>
          <w:rFonts w:ascii="Nunito" w:hAnsi="Nunito"/>
          <w:b/>
          <w:bCs/>
          <w:color w:val="156082" w:themeColor="accent1"/>
        </w:rPr>
        <w:t>H</w:t>
      </w:r>
      <w:r w:rsidR="004230CD" w:rsidRPr="009E3CB3">
        <w:rPr>
          <w:rFonts w:ascii="Nunito" w:hAnsi="Nunito"/>
          <w:b/>
          <w:bCs/>
          <w:color w:val="156082" w:themeColor="accent1"/>
        </w:rPr>
        <w:t>ow to Brief a Case</w:t>
      </w:r>
    </w:p>
    <w:p w14:paraId="51E95E27" w14:textId="1D607739" w:rsidR="00DA42D2" w:rsidRPr="009E3CB3" w:rsidRDefault="004230CD" w:rsidP="00B43575">
      <w:pPr>
        <w:spacing w:after="0" w:line="240" w:lineRule="auto"/>
        <w:rPr>
          <w:rFonts w:ascii="Nunito" w:hAnsi="Nunito"/>
        </w:rPr>
      </w:pPr>
      <w:r w:rsidRPr="009E3CB3">
        <w:rPr>
          <w:rFonts w:ascii="Nunito" w:hAnsi="Nunito"/>
        </w:rPr>
        <w:t xml:space="preserve">You’ll see that my case brief format is quite different from the ones you see </w:t>
      </w:r>
      <w:r w:rsidR="00174E22" w:rsidRPr="009E3CB3">
        <w:rPr>
          <w:rFonts w:ascii="Nunito" w:hAnsi="Nunito"/>
        </w:rPr>
        <w:t>taught by</w:t>
      </w:r>
      <w:r w:rsidRPr="009E3CB3">
        <w:rPr>
          <w:rFonts w:ascii="Nunito" w:hAnsi="Nunito"/>
        </w:rPr>
        <w:t xml:space="preserve"> most resources. </w:t>
      </w:r>
      <w:r w:rsidR="00DA42D2" w:rsidRPr="009E3CB3">
        <w:rPr>
          <w:rFonts w:ascii="Nunito" w:hAnsi="Nunito"/>
        </w:rPr>
        <w:t xml:space="preserve">Most students write briefs that are </w:t>
      </w:r>
      <w:r w:rsidR="00277A2E" w:rsidRPr="009E3CB3">
        <w:rPr>
          <w:rFonts w:ascii="Nunito" w:hAnsi="Nunito"/>
        </w:rPr>
        <w:t>way too</w:t>
      </w:r>
      <w:r w:rsidR="00DA42D2" w:rsidRPr="009E3CB3">
        <w:rPr>
          <w:rFonts w:ascii="Nunito" w:hAnsi="Nunito"/>
        </w:rPr>
        <w:t xml:space="preserve"> long and often focused on the wrong things. </w:t>
      </w:r>
      <w:r w:rsidR="00277A2E" w:rsidRPr="009E3CB3">
        <w:rPr>
          <w:rFonts w:ascii="Nunito" w:hAnsi="Nunito"/>
        </w:rPr>
        <w:t>Then they</w:t>
      </w:r>
      <w:r w:rsidR="00DA42D2" w:rsidRPr="009E3CB3">
        <w:rPr>
          <w:rFonts w:ascii="Nunito" w:hAnsi="Nunito"/>
        </w:rPr>
        <w:t xml:space="preserve"> stop briefly </w:t>
      </w:r>
      <w:r w:rsidR="00277A2E" w:rsidRPr="009E3CB3">
        <w:rPr>
          <w:rFonts w:ascii="Nunito" w:hAnsi="Nunito"/>
        </w:rPr>
        <w:t xml:space="preserve">completely </w:t>
      </w:r>
      <w:r w:rsidR="00DA42D2" w:rsidRPr="009E3CB3">
        <w:rPr>
          <w:rFonts w:ascii="Nunito" w:hAnsi="Nunito"/>
        </w:rPr>
        <w:t xml:space="preserve">because it takes them too much time and does not help their studying. </w:t>
      </w:r>
      <w:r w:rsidR="00277A2E" w:rsidRPr="009E3CB3">
        <w:rPr>
          <w:rFonts w:ascii="Nunito" w:hAnsi="Nunito"/>
        </w:rPr>
        <w:t>My method will help you brief</w:t>
      </w:r>
      <w:r w:rsidR="00DA42D2" w:rsidRPr="009E3CB3">
        <w:rPr>
          <w:rFonts w:ascii="Nunito" w:hAnsi="Nunito"/>
        </w:rPr>
        <w:t xml:space="preserve"> cases quickly and efficiently. </w:t>
      </w:r>
      <w:r w:rsidR="00174E22" w:rsidRPr="009E3CB3">
        <w:rPr>
          <w:rFonts w:ascii="Nunito" w:hAnsi="Nunito"/>
        </w:rPr>
        <w:t>Here’s how:</w:t>
      </w:r>
      <w:r w:rsidR="00DA42D2" w:rsidRPr="009E3CB3">
        <w:rPr>
          <w:rFonts w:ascii="Nunito" w:hAnsi="Nunito"/>
        </w:rPr>
        <w:t xml:space="preserve"> </w:t>
      </w:r>
    </w:p>
    <w:p w14:paraId="77235105" w14:textId="77777777" w:rsidR="00DA42D2" w:rsidRPr="009E3CB3" w:rsidRDefault="00DA42D2" w:rsidP="00B43575">
      <w:pPr>
        <w:spacing w:after="0" w:line="240" w:lineRule="auto"/>
        <w:rPr>
          <w:rFonts w:ascii="Nunito" w:hAnsi="Nunito"/>
        </w:rPr>
      </w:pPr>
    </w:p>
    <w:p w14:paraId="7DDE81A1" w14:textId="49932074" w:rsidR="004230CD" w:rsidRPr="009E3CB3" w:rsidRDefault="00DA42D2" w:rsidP="00B43575">
      <w:pPr>
        <w:spacing w:after="0" w:line="240" w:lineRule="auto"/>
        <w:rPr>
          <w:rFonts w:ascii="Nunito" w:hAnsi="Nunito"/>
        </w:rPr>
      </w:pPr>
      <w:r w:rsidRPr="009E3CB3">
        <w:rPr>
          <w:rFonts w:ascii="Nunito" w:hAnsi="Nunito"/>
        </w:rPr>
        <w:t>The</w:t>
      </w:r>
      <w:r w:rsidR="004230CD" w:rsidRPr="009E3CB3">
        <w:rPr>
          <w:rFonts w:ascii="Nunito" w:hAnsi="Nunito"/>
        </w:rPr>
        <w:t xml:space="preserve"> </w:t>
      </w:r>
      <w:r w:rsidR="004230CD" w:rsidRPr="009E3CB3">
        <w:rPr>
          <w:rFonts w:ascii="Nunito" w:hAnsi="Nunito"/>
          <w:b/>
          <w:bCs/>
        </w:rPr>
        <w:t>rule</w:t>
      </w:r>
      <w:r w:rsidR="004230CD" w:rsidRPr="009E3CB3">
        <w:rPr>
          <w:rFonts w:ascii="Nunito" w:hAnsi="Nunito"/>
        </w:rPr>
        <w:t xml:space="preserve"> is the most important </w:t>
      </w:r>
      <w:r w:rsidR="00DD4139" w:rsidRPr="009E3CB3">
        <w:rPr>
          <w:rFonts w:ascii="Nunito" w:hAnsi="Nunito"/>
        </w:rPr>
        <w:t xml:space="preserve">thing you will learn from a case, </w:t>
      </w:r>
      <w:r w:rsidRPr="009E3CB3">
        <w:rPr>
          <w:rFonts w:ascii="Nunito" w:hAnsi="Nunito"/>
        </w:rPr>
        <w:t>so put it first in your brief</w:t>
      </w:r>
      <w:r w:rsidR="004230CD" w:rsidRPr="009E3CB3">
        <w:rPr>
          <w:rFonts w:ascii="Nunito" w:hAnsi="Nunito"/>
        </w:rPr>
        <w:t>.</w:t>
      </w:r>
      <w:r w:rsidR="000C1CF1" w:rsidRPr="009E3CB3">
        <w:rPr>
          <w:rStyle w:val="FootnoteReference"/>
          <w:rFonts w:ascii="Nunito" w:hAnsi="Nunito"/>
        </w:rPr>
        <w:footnoteReference w:id="1"/>
      </w:r>
    </w:p>
    <w:p w14:paraId="334AE7F7" w14:textId="77777777" w:rsidR="00B43575" w:rsidRPr="009E3CB3" w:rsidRDefault="00B43575" w:rsidP="00B43575">
      <w:pPr>
        <w:spacing w:after="0" w:line="240" w:lineRule="auto"/>
        <w:rPr>
          <w:rFonts w:ascii="Nunito" w:hAnsi="Nunito"/>
        </w:rPr>
      </w:pPr>
    </w:p>
    <w:p w14:paraId="5C1FF2AD" w14:textId="15110CEF" w:rsidR="004230CD" w:rsidRPr="009E3CB3" w:rsidRDefault="004230CD" w:rsidP="00B43575">
      <w:pPr>
        <w:spacing w:after="0" w:line="240" w:lineRule="auto"/>
        <w:rPr>
          <w:rFonts w:ascii="Nunito" w:hAnsi="Nunito"/>
        </w:rPr>
      </w:pPr>
      <w:r w:rsidRPr="009E3CB3">
        <w:rPr>
          <w:rFonts w:ascii="Nunito" w:hAnsi="Nunito"/>
        </w:rPr>
        <w:t xml:space="preserve">The second most important thing </w:t>
      </w:r>
      <w:r w:rsidR="00DD4139" w:rsidRPr="009E3CB3">
        <w:rPr>
          <w:rFonts w:ascii="Nunito" w:hAnsi="Nunito"/>
        </w:rPr>
        <w:t>from</w:t>
      </w:r>
      <w:r w:rsidRPr="009E3CB3">
        <w:rPr>
          <w:rFonts w:ascii="Nunito" w:hAnsi="Nunito"/>
        </w:rPr>
        <w:t xml:space="preserve"> </w:t>
      </w:r>
      <w:r w:rsidR="00DD4139" w:rsidRPr="009E3CB3">
        <w:rPr>
          <w:rFonts w:ascii="Nunito" w:hAnsi="Nunito"/>
        </w:rPr>
        <w:t>a</w:t>
      </w:r>
      <w:r w:rsidRPr="009E3CB3">
        <w:rPr>
          <w:rFonts w:ascii="Nunito" w:hAnsi="Nunito"/>
        </w:rPr>
        <w:t xml:space="preserve"> case is its holding: how did the court </w:t>
      </w:r>
      <w:r w:rsidRPr="009E3CB3">
        <w:rPr>
          <w:rFonts w:ascii="Nunito" w:hAnsi="Nunito"/>
          <w:b/>
          <w:bCs/>
        </w:rPr>
        <w:t>apply</w:t>
      </w:r>
      <w:r w:rsidRPr="009E3CB3">
        <w:rPr>
          <w:rFonts w:ascii="Nunito" w:hAnsi="Nunito"/>
        </w:rPr>
        <w:t xml:space="preserve"> that rule in this particular case?</w:t>
      </w:r>
    </w:p>
    <w:p w14:paraId="4EA1D820" w14:textId="77777777" w:rsidR="00B43575" w:rsidRPr="009E3CB3" w:rsidRDefault="00B43575" w:rsidP="00B43575">
      <w:pPr>
        <w:spacing w:after="0" w:line="240" w:lineRule="auto"/>
        <w:rPr>
          <w:rFonts w:ascii="Nunito" w:hAnsi="Nunito"/>
        </w:rPr>
      </w:pPr>
    </w:p>
    <w:p w14:paraId="50ADB3FC" w14:textId="043134D1" w:rsidR="004230CD" w:rsidRPr="009E3CB3" w:rsidRDefault="004230CD" w:rsidP="00B43575">
      <w:pPr>
        <w:spacing w:after="0" w:line="240" w:lineRule="auto"/>
        <w:rPr>
          <w:rFonts w:ascii="Nunito" w:hAnsi="Nunito"/>
        </w:rPr>
      </w:pPr>
      <w:r w:rsidRPr="009E3CB3">
        <w:rPr>
          <w:rFonts w:ascii="Nunito" w:hAnsi="Nunito"/>
        </w:rPr>
        <w:t xml:space="preserve">The </w:t>
      </w:r>
      <w:r w:rsidRPr="009E3CB3">
        <w:rPr>
          <w:rFonts w:ascii="Nunito" w:hAnsi="Nunito"/>
          <w:b/>
          <w:bCs/>
        </w:rPr>
        <w:t>fact</w:t>
      </w:r>
      <w:r w:rsidRPr="009E3CB3">
        <w:rPr>
          <w:rFonts w:ascii="Nunito" w:hAnsi="Nunito"/>
        </w:rPr>
        <w:t xml:space="preserve"> summary contains only enough information to jog your memory about what happened in this cas</w:t>
      </w:r>
      <w:r w:rsidR="00DD4139" w:rsidRPr="009E3CB3">
        <w:rPr>
          <w:rFonts w:ascii="Nunito" w:hAnsi="Nunito"/>
        </w:rPr>
        <w:t>e when you are reviewing your notes a few months from now</w:t>
      </w:r>
      <w:r w:rsidRPr="009E3CB3">
        <w:rPr>
          <w:rFonts w:ascii="Nunito" w:hAnsi="Nunito"/>
        </w:rPr>
        <w:t>. Most students write fact summaries that are far too long and with far too many (unnecessary) details!</w:t>
      </w:r>
      <w:r w:rsidR="00174E22" w:rsidRPr="009E3CB3">
        <w:rPr>
          <w:rFonts w:ascii="Nunito" w:hAnsi="Nunito"/>
        </w:rPr>
        <w:t xml:space="preserve"> Frankly, many judicial opinions include fact summaries that are too long and with too many irrelevant details.</w:t>
      </w:r>
    </w:p>
    <w:p w14:paraId="6FA47A81" w14:textId="77777777" w:rsidR="00B43575" w:rsidRPr="009E3CB3" w:rsidRDefault="00B43575" w:rsidP="00B43575">
      <w:pPr>
        <w:spacing w:after="0" w:line="240" w:lineRule="auto"/>
        <w:rPr>
          <w:rFonts w:ascii="Nunito" w:hAnsi="Nunito"/>
        </w:rPr>
      </w:pPr>
    </w:p>
    <w:p w14:paraId="32DE9BEC" w14:textId="30B49A42" w:rsidR="004230CD" w:rsidRPr="009E3CB3" w:rsidRDefault="004230CD" w:rsidP="00B43575">
      <w:pPr>
        <w:spacing w:after="0" w:line="240" w:lineRule="auto"/>
        <w:rPr>
          <w:rFonts w:ascii="Nunito" w:hAnsi="Nunito"/>
        </w:rPr>
      </w:pPr>
      <w:r w:rsidRPr="009E3CB3">
        <w:rPr>
          <w:rFonts w:ascii="Nunito" w:hAnsi="Nunito"/>
        </w:rPr>
        <w:t xml:space="preserve">I never include </w:t>
      </w:r>
      <w:r w:rsidRPr="009E3CB3">
        <w:rPr>
          <w:rFonts w:ascii="Nunito" w:hAnsi="Nunito"/>
          <w:b/>
          <w:bCs/>
        </w:rPr>
        <w:t>procedural history</w:t>
      </w:r>
      <w:r w:rsidRPr="009E3CB3">
        <w:rPr>
          <w:rFonts w:ascii="Nunito" w:hAnsi="Nunito"/>
        </w:rPr>
        <w:t xml:space="preserve"> in a case brief, unless it’s a Civil Procedure class—which is a whole different ballgame!</w:t>
      </w:r>
      <w:r w:rsidR="00DD4139" w:rsidRPr="009E3CB3">
        <w:rPr>
          <w:rFonts w:ascii="Nunito" w:hAnsi="Nunito"/>
        </w:rPr>
        <w:t xml:space="preserve"> </w:t>
      </w:r>
    </w:p>
    <w:p w14:paraId="5D77165F" w14:textId="77777777" w:rsidR="00B43575" w:rsidRPr="009E3CB3" w:rsidRDefault="00B43575" w:rsidP="00B43575">
      <w:pPr>
        <w:spacing w:after="0" w:line="240" w:lineRule="auto"/>
        <w:rPr>
          <w:rFonts w:ascii="Nunito" w:hAnsi="Nunito"/>
        </w:rPr>
      </w:pPr>
    </w:p>
    <w:p w14:paraId="21106A41" w14:textId="4850919E" w:rsidR="004230CD" w:rsidRPr="009E3CB3" w:rsidRDefault="004230CD" w:rsidP="00B43575">
      <w:pPr>
        <w:spacing w:after="0" w:line="240" w:lineRule="auto"/>
        <w:rPr>
          <w:rFonts w:ascii="Nunito" w:hAnsi="Nunito"/>
        </w:rPr>
      </w:pPr>
      <w:r w:rsidRPr="009E3CB3">
        <w:rPr>
          <w:rFonts w:ascii="Nunito" w:hAnsi="Nunito"/>
        </w:rPr>
        <w:t xml:space="preserve">I don’t include an </w:t>
      </w:r>
      <w:r w:rsidRPr="009E3CB3">
        <w:rPr>
          <w:rFonts w:ascii="Nunito" w:hAnsi="Nunito"/>
          <w:b/>
          <w:bCs/>
        </w:rPr>
        <w:t>issue</w:t>
      </w:r>
      <w:r w:rsidRPr="009E3CB3">
        <w:rPr>
          <w:rFonts w:ascii="Nunito" w:hAnsi="Nunito"/>
        </w:rPr>
        <w:t xml:space="preserve"> statement because it’s usually repetitive of the holding, but you can include one if you want to.</w:t>
      </w:r>
    </w:p>
    <w:p w14:paraId="110E14B0" w14:textId="77777777" w:rsidR="0076730C" w:rsidRPr="009E3CB3" w:rsidRDefault="0076730C" w:rsidP="00B43575">
      <w:pPr>
        <w:spacing w:after="0" w:line="240" w:lineRule="auto"/>
        <w:rPr>
          <w:rFonts w:ascii="Nunito" w:hAnsi="Nunito"/>
        </w:rPr>
      </w:pPr>
    </w:p>
    <w:p w14:paraId="789F3571" w14:textId="2DA399E0" w:rsidR="0076730C" w:rsidRPr="009E3CB3" w:rsidRDefault="0076730C" w:rsidP="00B43575">
      <w:pPr>
        <w:spacing w:after="0" w:line="240" w:lineRule="auto"/>
        <w:rPr>
          <w:rFonts w:ascii="Nunito" w:hAnsi="Nunito"/>
        </w:rPr>
      </w:pPr>
      <w:r w:rsidRPr="009E3CB3">
        <w:rPr>
          <w:rFonts w:ascii="Nunito" w:hAnsi="Nunito"/>
        </w:rPr>
        <w:t xml:space="preserve">I omit the </w:t>
      </w:r>
      <w:r w:rsidR="0088387A" w:rsidRPr="009E3CB3">
        <w:rPr>
          <w:rFonts w:ascii="Nunito" w:hAnsi="Nunito"/>
        </w:rPr>
        <w:t xml:space="preserve">case </w:t>
      </w:r>
      <w:r w:rsidRPr="009E3CB3">
        <w:rPr>
          <w:rFonts w:ascii="Nunito" w:hAnsi="Nunito"/>
        </w:rPr>
        <w:t xml:space="preserve">citation because it’s generally irrelevant. Occasionally, the year of the decision or the </w:t>
      </w:r>
      <w:r w:rsidR="00F814FF" w:rsidRPr="009E3CB3">
        <w:rPr>
          <w:rFonts w:ascii="Nunito" w:hAnsi="Nunito"/>
        </w:rPr>
        <w:t xml:space="preserve">specific </w:t>
      </w:r>
      <w:r w:rsidRPr="009E3CB3">
        <w:rPr>
          <w:rFonts w:ascii="Nunito" w:hAnsi="Nunito"/>
        </w:rPr>
        <w:t xml:space="preserve">court that </w:t>
      </w:r>
      <w:r w:rsidR="0088387A" w:rsidRPr="009E3CB3">
        <w:rPr>
          <w:rFonts w:ascii="Nunito" w:hAnsi="Nunito"/>
        </w:rPr>
        <w:t xml:space="preserve">decided the case is important. If so, your professor will make </w:t>
      </w:r>
      <w:r w:rsidR="00F814FF" w:rsidRPr="009E3CB3">
        <w:rPr>
          <w:rFonts w:ascii="Nunito" w:hAnsi="Nunito"/>
        </w:rPr>
        <w:t xml:space="preserve">that </w:t>
      </w:r>
      <w:r w:rsidR="0088387A" w:rsidRPr="009E3CB3">
        <w:rPr>
          <w:rFonts w:ascii="Nunito" w:hAnsi="Nunito"/>
        </w:rPr>
        <w:t>clear during class, and you can add it.</w:t>
      </w:r>
    </w:p>
    <w:p w14:paraId="32EA9BBC" w14:textId="77777777" w:rsidR="00B43575" w:rsidRPr="009E3CB3" w:rsidRDefault="00B43575" w:rsidP="00B43575">
      <w:pPr>
        <w:spacing w:after="0" w:line="240" w:lineRule="auto"/>
        <w:rPr>
          <w:rFonts w:ascii="Nunito" w:hAnsi="Nunito"/>
        </w:rPr>
      </w:pPr>
    </w:p>
    <w:p w14:paraId="0DC8F7F6" w14:textId="77777777" w:rsidR="004230CD" w:rsidRPr="009E3CB3" w:rsidRDefault="004230CD" w:rsidP="00B43575">
      <w:pPr>
        <w:spacing w:after="0" w:line="240" w:lineRule="auto"/>
        <w:rPr>
          <w:rFonts w:ascii="Nunito" w:hAnsi="Nunito"/>
        </w:rPr>
      </w:pPr>
      <w:r w:rsidRPr="009E3CB3">
        <w:rPr>
          <w:rFonts w:ascii="Nunito" w:hAnsi="Nunito"/>
        </w:rPr>
        <w:t>My “</w:t>
      </w:r>
      <w:r w:rsidRPr="009E3CB3">
        <w:rPr>
          <w:rFonts w:ascii="Nunito" w:hAnsi="Nunito"/>
          <w:b/>
          <w:bCs/>
        </w:rPr>
        <w:t>extras</w:t>
      </w:r>
      <w:r w:rsidRPr="009E3CB3">
        <w:rPr>
          <w:rFonts w:ascii="Nunito" w:hAnsi="Nunito"/>
        </w:rPr>
        <w:t>” section is where you should include things like</w:t>
      </w:r>
    </w:p>
    <w:p w14:paraId="71DD629E" w14:textId="789AA911" w:rsidR="004230CD" w:rsidRPr="009E3CB3" w:rsidRDefault="00224CDF" w:rsidP="00B43575">
      <w:pPr>
        <w:pStyle w:val="ListParagraph"/>
        <w:numPr>
          <w:ilvl w:val="0"/>
          <w:numId w:val="1"/>
        </w:numPr>
        <w:spacing w:after="0" w:line="240" w:lineRule="auto"/>
        <w:rPr>
          <w:rFonts w:ascii="Nunito" w:hAnsi="Nunito"/>
        </w:rPr>
      </w:pPr>
      <w:r w:rsidRPr="009E3CB3">
        <w:rPr>
          <w:rFonts w:ascii="Nunito" w:hAnsi="Nunito"/>
        </w:rPr>
        <w:t>a</w:t>
      </w:r>
      <w:r w:rsidR="004230CD" w:rsidRPr="009E3CB3">
        <w:rPr>
          <w:rFonts w:ascii="Nunito" w:hAnsi="Nunito"/>
        </w:rPr>
        <w:t>ny new vocabulary words from the case that you had to look up in a legal dictionary. Write down the word and its definition because you will have forgotten it by tomorrow!</w:t>
      </w:r>
    </w:p>
    <w:p w14:paraId="551D47D3" w14:textId="343BB951" w:rsidR="004230CD" w:rsidRPr="009E3CB3" w:rsidRDefault="00224CDF" w:rsidP="00B43575">
      <w:pPr>
        <w:pStyle w:val="ListParagraph"/>
        <w:numPr>
          <w:ilvl w:val="0"/>
          <w:numId w:val="1"/>
        </w:numPr>
        <w:spacing w:after="0" w:line="240" w:lineRule="auto"/>
        <w:rPr>
          <w:rFonts w:ascii="Nunito" w:hAnsi="Nunito"/>
        </w:rPr>
      </w:pPr>
      <w:r w:rsidRPr="009E3CB3">
        <w:rPr>
          <w:rFonts w:ascii="Nunito" w:hAnsi="Nunito"/>
        </w:rPr>
        <w:t>a</w:t>
      </w:r>
      <w:r w:rsidR="004230CD" w:rsidRPr="009E3CB3">
        <w:rPr>
          <w:rFonts w:ascii="Nunito" w:hAnsi="Nunito"/>
        </w:rPr>
        <w:t xml:space="preserve">ny policy discussions or other reasoning stated in the opinion. </w:t>
      </w:r>
    </w:p>
    <w:p w14:paraId="5F595061" w14:textId="2C45E2EC" w:rsidR="004230CD" w:rsidRPr="009E3CB3" w:rsidRDefault="00224CDF" w:rsidP="00B43575">
      <w:pPr>
        <w:pStyle w:val="ListParagraph"/>
        <w:numPr>
          <w:ilvl w:val="0"/>
          <w:numId w:val="1"/>
        </w:numPr>
        <w:spacing w:after="0" w:line="240" w:lineRule="auto"/>
        <w:rPr>
          <w:rFonts w:ascii="Nunito" w:hAnsi="Nunito"/>
        </w:rPr>
      </w:pPr>
      <w:r w:rsidRPr="009E3CB3">
        <w:rPr>
          <w:rFonts w:ascii="Nunito" w:hAnsi="Nunito"/>
        </w:rPr>
        <w:t>a</w:t>
      </w:r>
      <w:r w:rsidR="004230CD" w:rsidRPr="009E3CB3">
        <w:rPr>
          <w:rFonts w:ascii="Nunito" w:hAnsi="Nunito"/>
        </w:rPr>
        <w:t>dditional things your professor mentions in class about this case or this rule.</w:t>
      </w:r>
      <w:r w:rsidR="008E028F" w:rsidRPr="009E3CB3">
        <w:rPr>
          <w:rFonts w:ascii="Nunito" w:hAnsi="Nunito"/>
        </w:rPr>
        <w:t xml:space="preserve"> Write down things your professor says in a different color font.</w:t>
      </w:r>
    </w:p>
    <w:p w14:paraId="1E7E48C1" w14:textId="77777777" w:rsidR="004230CD" w:rsidRPr="009E3CB3" w:rsidRDefault="004230CD" w:rsidP="00B43575">
      <w:pPr>
        <w:spacing w:after="0" w:line="240" w:lineRule="auto"/>
        <w:rPr>
          <w:rFonts w:ascii="Nunito" w:hAnsi="Nunito"/>
          <w:b/>
          <w:bCs/>
        </w:rPr>
      </w:pPr>
    </w:p>
    <w:p w14:paraId="10D29FA0" w14:textId="041F461A" w:rsidR="00DD4139" w:rsidRPr="009E3CB3" w:rsidRDefault="00F42949" w:rsidP="00B43575">
      <w:pPr>
        <w:spacing w:after="0" w:line="240" w:lineRule="auto"/>
        <w:jc w:val="center"/>
        <w:rPr>
          <w:rFonts w:ascii="Nunito" w:hAnsi="Nunito"/>
          <w:b/>
          <w:bCs/>
          <w:color w:val="156082" w:themeColor="accent1"/>
        </w:rPr>
      </w:pPr>
      <w:r w:rsidRPr="009E3CB3">
        <w:rPr>
          <w:rFonts w:ascii="Nunito" w:hAnsi="Nunito"/>
          <w:b/>
          <w:bCs/>
          <w:color w:val="156082" w:themeColor="accent1"/>
        </w:rPr>
        <w:lastRenderedPageBreak/>
        <w:t>Sample Case Brief</w:t>
      </w:r>
    </w:p>
    <w:p w14:paraId="75C6A919" w14:textId="77777777" w:rsidR="00F42949" w:rsidRPr="009E3CB3" w:rsidRDefault="00F42949" w:rsidP="00B43575">
      <w:pPr>
        <w:spacing w:after="0" w:line="240" w:lineRule="auto"/>
        <w:jc w:val="center"/>
        <w:rPr>
          <w:rFonts w:ascii="Nunito" w:hAnsi="Nunito"/>
          <w:b/>
          <w:bCs/>
        </w:rPr>
      </w:pPr>
    </w:p>
    <w:p w14:paraId="30D8B521" w14:textId="1C508DEE" w:rsidR="00E43B5E" w:rsidRPr="009E3CB3" w:rsidRDefault="00B55E65" w:rsidP="00B43575">
      <w:pPr>
        <w:spacing w:after="0" w:line="240" w:lineRule="auto"/>
        <w:jc w:val="center"/>
        <w:rPr>
          <w:rFonts w:ascii="Nunito" w:hAnsi="Nunito"/>
          <w:b/>
          <w:bCs/>
        </w:rPr>
      </w:pPr>
      <w:r w:rsidRPr="009E3CB3">
        <w:rPr>
          <w:rFonts w:ascii="Nunito" w:hAnsi="Nunito"/>
          <w:b/>
          <w:bCs/>
        </w:rPr>
        <w:t>People v. Stewart</w:t>
      </w:r>
      <w:r w:rsidR="00557408" w:rsidRPr="009E3CB3">
        <w:rPr>
          <w:rStyle w:val="FootnoteReference"/>
          <w:rFonts w:ascii="Nunito" w:hAnsi="Nunito"/>
          <w:b/>
          <w:bCs/>
        </w:rPr>
        <w:footnoteReference w:id="2"/>
      </w:r>
    </w:p>
    <w:p w14:paraId="73AA3785" w14:textId="77777777" w:rsidR="00B55E65" w:rsidRPr="009E3CB3" w:rsidRDefault="00B55E65" w:rsidP="00B43575">
      <w:pPr>
        <w:spacing w:after="0" w:line="240" w:lineRule="auto"/>
        <w:jc w:val="center"/>
        <w:rPr>
          <w:rFonts w:ascii="Nunito" w:hAnsi="Nunito"/>
          <w:b/>
          <w:bCs/>
        </w:rPr>
      </w:pPr>
    </w:p>
    <w:p w14:paraId="2C8BD0C4" w14:textId="77777777" w:rsidR="006F2A95" w:rsidRPr="009E3CB3" w:rsidRDefault="006F2A95" w:rsidP="006F2A95">
      <w:pPr>
        <w:pStyle w:val="NoSpacing"/>
        <w:rPr>
          <w:rFonts w:ascii="Nunito" w:hAnsi="Nunito"/>
        </w:rPr>
      </w:pPr>
      <w:r w:rsidRPr="009E3CB3">
        <w:rPr>
          <w:rFonts w:ascii="Nunito" w:hAnsi="Nunito"/>
          <w:b/>
          <w:bCs/>
        </w:rPr>
        <w:t>Rule</w:t>
      </w:r>
      <w:r w:rsidRPr="009E3CB3">
        <w:rPr>
          <w:rFonts w:ascii="Nunito" w:hAnsi="Nunito"/>
        </w:rPr>
        <w:t>: If an object is a firearm, knife, or bludgeon, then it automatically is a deadly weapon. If it is not one of those things, then there is a two-part test to determine if it is a deadly weapon.</w:t>
      </w:r>
    </w:p>
    <w:p w14:paraId="0AD4B5A4" w14:textId="77777777" w:rsidR="006F2A95" w:rsidRPr="009E3CB3" w:rsidRDefault="006F2A95" w:rsidP="006F2A95">
      <w:pPr>
        <w:pStyle w:val="NoSpacing"/>
        <w:numPr>
          <w:ilvl w:val="0"/>
          <w:numId w:val="4"/>
        </w:numPr>
        <w:rPr>
          <w:rFonts w:ascii="Nunito" w:hAnsi="Nunito"/>
        </w:rPr>
      </w:pPr>
      <w:r w:rsidRPr="009E3CB3">
        <w:rPr>
          <w:rFonts w:ascii="Nunito" w:hAnsi="Nunito"/>
        </w:rPr>
        <w:t>Object must be used or intended to be used as a weapon.</w:t>
      </w:r>
    </w:p>
    <w:p w14:paraId="1D48FE2A" w14:textId="77777777" w:rsidR="006F2A95" w:rsidRPr="009E3CB3" w:rsidRDefault="006F2A95" w:rsidP="006F2A95">
      <w:pPr>
        <w:pStyle w:val="NoSpacing"/>
        <w:numPr>
          <w:ilvl w:val="0"/>
          <w:numId w:val="4"/>
        </w:numPr>
        <w:rPr>
          <w:rFonts w:ascii="Nunito" w:hAnsi="Nunito"/>
        </w:rPr>
      </w:pPr>
      <w:r w:rsidRPr="009E3CB3">
        <w:rPr>
          <w:rFonts w:ascii="Nunito" w:hAnsi="Nunito"/>
        </w:rPr>
        <w:t>Object must be capable of causing serious bodily injury.</w:t>
      </w:r>
    </w:p>
    <w:p w14:paraId="30D05499" w14:textId="77777777" w:rsidR="00805051" w:rsidRDefault="00805051" w:rsidP="00B55E65">
      <w:pPr>
        <w:pStyle w:val="NoSpacing"/>
        <w:rPr>
          <w:rFonts w:ascii="Nunito" w:hAnsi="Nunito"/>
          <w:b/>
          <w:bCs/>
        </w:rPr>
      </w:pPr>
    </w:p>
    <w:p w14:paraId="47CBAC3B" w14:textId="55E4424D" w:rsidR="00E43B5E" w:rsidRPr="009E3CB3" w:rsidRDefault="00E43B5E" w:rsidP="00B55E65">
      <w:pPr>
        <w:pStyle w:val="NoSpacing"/>
        <w:rPr>
          <w:rFonts w:ascii="Nunito" w:hAnsi="Nunito"/>
        </w:rPr>
      </w:pPr>
      <w:r w:rsidRPr="009E3CB3">
        <w:rPr>
          <w:rFonts w:ascii="Nunito" w:hAnsi="Nunito"/>
          <w:b/>
          <w:bCs/>
        </w:rPr>
        <w:t>Facts</w:t>
      </w:r>
      <w:r w:rsidRPr="009E3CB3">
        <w:rPr>
          <w:rFonts w:ascii="Nunito" w:hAnsi="Nunito"/>
        </w:rPr>
        <w:t>: a car and a pedestrian collided; disputed reports as to how this happened, but the pedestrian was seriously injured and later died.</w:t>
      </w:r>
    </w:p>
    <w:p w14:paraId="5683FB45" w14:textId="77777777" w:rsidR="00B55E65" w:rsidRPr="009E3CB3" w:rsidRDefault="00B55E65" w:rsidP="00B55E65">
      <w:pPr>
        <w:pStyle w:val="NoSpacing"/>
        <w:rPr>
          <w:rFonts w:ascii="Nunito" w:hAnsi="Nunito"/>
          <w:b/>
          <w:bCs/>
        </w:rPr>
      </w:pPr>
    </w:p>
    <w:p w14:paraId="10F232F2" w14:textId="65A00F94" w:rsidR="00E43B5E" w:rsidRPr="009E3CB3" w:rsidRDefault="00E43B5E" w:rsidP="00B55E65">
      <w:pPr>
        <w:pStyle w:val="NoSpacing"/>
        <w:rPr>
          <w:rFonts w:ascii="Nunito" w:hAnsi="Nunito"/>
        </w:rPr>
      </w:pPr>
      <w:r w:rsidRPr="009E3CB3">
        <w:rPr>
          <w:rFonts w:ascii="Nunito" w:hAnsi="Nunito"/>
          <w:b/>
          <w:bCs/>
        </w:rPr>
        <w:t>Holding</w:t>
      </w:r>
      <w:r w:rsidRPr="009E3CB3">
        <w:rPr>
          <w:rFonts w:ascii="Nunito" w:hAnsi="Nunito"/>
        </w:rPr>
        <w:t xml:space="preserve">: </w:t>
      </w:r>
      <w:r w:rsidR="00B55E65" w:rsidRPr="009E3CB3">
        <w:rPr>
          <w:rFonts w:ascii="Nunito" w:hAnsi="Nunito"/>
        </w:rPr>
        <w:t xml:space="preserve">The </w:t>
      </w:r>
      <w:r w:rsidRPr="009E3CB3">
        <w:rPr>
          <w:rFonts w:ascii="Nunito" w:hAnsi="Nunito"/>
        </w:rPr>
        <w:t xml:space="preserve">car was used as a deadly weapon. A car is not automatically a deadly weapon but here it was used as such. </w:t>
      </w:r>
    </w:p>
    <w:p w14:paraId="31C0C5EC" w14:textId="77777777" w:rsidR="00F42949" w:rsidRPr="009E3CB3" w:rsidRDefault="00F42949" w:rsidP="00B43575">
      <w:pPr>
        <w:spacing w:after="0" w:line="240" w:lineRule="auto"/>
        <w:rPr>
          <w:rFonts w:ascii="Nunito" w:hAnsi="Nunito"/>
        </w:rPr>
      </w:pPr>
    </w:p>
    <w:p w14:paraId="7CD3CCA7" w14:textId="77777777" w:rsidR="00F42949" w:rsidRPr="009E3CB3" w:rsidRDefault="00F42949" w:rsidP="00B43575">
      <w:pPr>
        <w:spacing w:after="0" w:line="240" w:lineRule="auto"/>
        <w:rPr>
          <w:rFonts w:ascii="Nunito" w:hAnsi="Nunito"/>
        </w:rPr>
      </w:pPr>
    </w:p>
    <w:p w14:paraId="021C2523" w14:textId="77777777" w:rsidR="007343E6" w:rsidRPr="009E3CB3" w:rsidRDefault="007343E6" w:rsidP="00B43575">
      <w:pPr>
        <w:spacing w:after="0" w:line="240" w:lineRule="auto"/>
        <w:rPr>
          <w:rFonts w:ascii="Nunito" w:hAnsi="Nunito"/>
        </w:rPr>
      </w:pPr>
    </w:p>
    <w:p w14:paraId="590E355D" w14:textId="0C1F6478" w:rsidR="00F42949" w:rsidRPr="009E3CB3" w:rsidRDefault="00F42949" w:rsidP="00B43575">
      <w:pPr>
        <w:spacing w:after="0" w:line="240" w:lineRule="auto"/>
        <w:rPr>
          <w:rFonts w:ascii="Nunito" w:hAnsi="Nunito"/>
          <w:color w:val="156082" w:themeColor="accent1"/>
        </w:rPr>
      </w:pPr>
      <w:r w:rsidRPr="009E3CB3">
        <w:rPr>
          <w:rFonts w:ascii="Nunito" w:hAnsi="Nunito"/>
          <w:color w:val="156082" w:themeColor="accent1"/>
        </w:rPr>
        <w:t xml:space="preserve">The next page has a blank template for a case </w:t>
      </w:r>
      <w:r w:rsidR="007343E6" w:rsidRPr="009E3CB3">
        <w:rPr>
          <w:rFonts w:ascii="Nunito" w:hAnsi="Nunito"/>
          <w:color w:val="156082" w:themeColor="accent1"/>
        </w:rPr>
        <w:t>brief</w:t>
      </w:r>
      <w:r w:rsidRPr="009E3CB3">
        <w:rPr>
          <w:rFonts w:ascii="Nunito" w:hAnsi="Nunito"/>
          <w:color w:val="156082" w:themeColor="accent1"/>
        </w:rPr>
        <w:t xml:space="preserve">. Download it now and personalize it to </w:t>
      </w:r>
      <w:r w:rsidR="007343E6" w:rsidRPr="009E3CB3">
        <w:rPr>
          <w:rFonts w:ascii="Nunito" w:hAnsi="Nunito"/>
          <w:color w:val="156082" w:themeColor="accent1"/>
        </w:rPr>
        <w:t xml:space="preserve">make it </w:t>
      </w:r>
      <w:r w:rsidRPr="009E3CB3">
        <w:rPr>
          <w:rFonts w:ascii="Nunito" w:hAnsi="Nunito"/>
          <w:color w:val="156082" w:themeColor="accent1"/>
        </w:rPr>
        <w:t>work better for you.</w:t>
      </w:r>
      <w:r w:rsidRPr="009E3CB3">
        <w:rPr>
          <w:rFonts w:ascii="Nunito" w:hAnsi="Nunito"/>
          <w:color w:val="156082" w:themeColor="accent1"/>
        </w:rPr>
        <w:br w:type="page"/>
      </w:r>
    </w:p>
    <w:p w14:paraId="6A77E8F3" w14:textId="41CD76EE" w:rsidR="0076730C" w:rsidRPr="009E3CB3" w:rsidRDefault="0076730C" w:rsidP="0076730C">
      <w:pPr>
        <w:jc w:val="center"/>
        <w:rPr>
          <w:rFonts w:ascii="Nunito" w:hAnsi="Nunito"/>
          <w:b/>
          <w:bCs/>
        </w:rPr>
      </w:pPr>
      <w:r w:rsidRPr="009E3CB3">
        <w:rPr>
          <w:rFonts w:ascii="Nunito" w:hAnsi="Nunito"/>
          <w:b/>
          <w:bCs/>
        </w:rPr>
        <w:lastRenderedPageBreak/>
        <w:t>Case Name</w:t>
      </w:r>
    </w:p>
    <w:p w14:paraId="15309735" w14:textId="77777777" w:rsidR="0076730C" w:rsidRPr="009E3CB3" w:rsidRDefault="0076730C" w:rsidP="0076730C">
      <w:pPr>
        <w:jc w:val="center"/>
        <w:rPr>
          <w:rFonts w:ascii="Nunito" w:hAnsi="Nunito"/>
          <w:b/>
          <w:bCs/>
        </w:rPr>
      </w:pPr>
    </w:p>
    <w:p w14:paraId="0425996F" w14:textId="77777777" w:rsidR="0076730C" w:rsidRPr="009E3CB3" w:rsidRDefault="0076730C" w:rsidP="0076730C">
      <w:pPr>
        <w:rPr>
          <w:rFonts w:ascii="Nunito" w:hAnsi="Nunito"/>
          <w:b/>
          <w:bCs/>
        </w:rPr>
      </w:pPr>
      <w:r w:rsidRPr="009E3CB3">
        <w:rPr>
          <w:rFonts w:ascii="Nunito" w:hAnsi="Nunito"/>
          <w:b/>
          <w:bCs/>
        </w:rPr>
        <w:t xml:space="preserve">Rule: </w:t>
      </w:r>
    </w:p>
    <w:p w14:paraId="317BEE3F" w14:textId="77777777" w:rsidR="0076730C" w:rsidRPr="009E3CB3" w:rsidRDefault="0076730C" w:rsidP="0076730C">
      <w:pPr>
        <w:rPr>
          <w:rFonts w:ascii="Nunito" w:hAnsi="Nunito"/>
        </w:rPr>
      </w:pPr>
    </w:p>
    <w:p w14:paraId="7CA4EF16" w14:textId="77777777" w:rsidR="00A24073" w:rsidRPr="009E3CB3" w:rsidRDefault="00A24073" w:rsidP="00A24073">
      <w:pPr>
        <w:rPr>
          <w:rFonts w:ascii="Nunito" w:hAnsi="Nunito"/>
        </w:rPr>
      </w:pPr>
      <w:r w:rsidRPr="009E3CB3">
        <w:rPr>
          <w:rFonts w:ascii="Nunito" w:hAnsi="Nunito"/>
          <w:b/>
          <w:bCs/>
        </w:rPr>
        <w:t>Facts:</w:t>
      </w:r>
    </w:p>
    <w:p w14:paraId="744B0252" w14:textId="77777777" w:rsidR="00A24073" w:rsidRDefault="00A24073" w:rsidP="0076730C">
      <w:pPr>
        <w:rPr>
          <w:rFonts w:ascii="Nunito" w:hAnsi="Nunito"/>
          <w:b/>
          <w:bCs/>
        </w:rPr>
      </w:pPr>
    </w:p>
    <w:p w14:paraId="7A6FC631" w14:textId="0091CBFB" w:rsidR="0076730C" w:rsidRPr="009E3CB3" w:rsidRDefault="0076730C" w:rsidP="0076730C">
      <w:pPr>
        <w:rPr>
          <w:rFonts w:ascii="Nunito" w:hAnsi="Nunito"/>
        </w:rPr>
      </w:pPr>
      <w:r w:rsidRPr="009E3CB3">
        <w:rPr>
          <w:rFonts w:ascii="Nunito" w:hAnsi="Nunito"/>
          <w:b/>
          <w:bCs/>
        </w:rPr>
        <w:t>Holding:</w:t>
      </w:r>
    </w:p>
    <w:p w14:paraId="0B010DE9" w14:textId="77777777" w:rsidR="0076730C" w:rsidRPr="009E3CB3" w:rsidRDefault="0076730C" w:rsidP="0076730C">
      <w:pPr>
        <w:rPr>
          <w:rFonts w:ascii="Nunito" w:hAnsi="Nunito"/>
          <w:b/>
          <w:bCs/>
        </w:rPr>
      </w:pPr>
    </w:p>
    <w:p w14:paraId="427F5060" w14:textId="77777777" w:rsidR="0076730C" w:rsidRPr="009E3CB3" w:rsidRDefault="0076730C" w:rsidP="0076730C">
      <w:pPr>
        <w:rPr>
          <w:rFonts w:ascii="Nunito" w:hAnsi="Nunito"/>
        </w:rPr>
      </w:pPr>
      <w:r w:rsidRPr="009E3CB3">
        <w:rPr>
          <w:rFonts w:ascii="Nunito" w:hAnsi="Nunito"/>
          <w:b/>
          <w:bCs/>
        </w:rPr>
        <w:t>Extras:</w:t>
      </w:r>
    </w:p>
    <w:p w14:paraId="0954B05D" w14:textId="77777777" w:rsidR="00F42949" w:rsidRPr="009E3CB3" w:rsidRDefault="00F42949" w:rsidP="00B43575">
      <w:pPr>
        <w:spacing w:after="0" w:line="240" w:lineRule="auto"/>
        <w:rPr>
          <w:rFonts w:ascii="Nunito" w:hAnsi="Nunito"/>
          <w:color w:val="156082" w:themeColor="accent1"/>
        </w:rPr>
      </w:pPr>
    </w:p>
    <w:p w14:paraId="6723D998" w14:textId="4DD621E2" w:rsidR="00FC0755" w:rsidRPr="009E3CB3" w:rsidRDefault="00FC0755" w:rsidP="00E27021">
      <w:pPr>
        <w:spacing w:after="0" w:line="240" w:lineRule="auto"/>
        <w:rPr>
          <w:rFonts w:ascii="Nunito" w:hAnsi="Nunito"/>
          <w:highlight w:val="yellow"/>
        </w:rPr>
      </w:pPr>
    </w:p>
    <w:sectPr w:rsidR="00FC0755" w:rsidRPr="009E3CB3" w:rsidSect="009E3CB3">
      <w:headerReference w:type="default" r:id="rId8"/>
      <w:footnotePr>
        <w:numFmt w:val="chicago"/>
      </w:footnotePr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F2B37" w14:textId="77777777" w:rsidR="00600165" w:rsidRDefault="00600165" w:rsidP="004230CD">
      <w:pPr>
        <w:spacing w:after="0" w:line="240" w:lineRule="auto"/>
      </w:pPr>
      <w:r>
        <w:separator/>
      </w:r>
    </w:p>
  </w:endnote>
  <w:endnote w:type="continuationSeparator" w:id="0">
    <w:p w14:paraId="0994927F" w14:textId="77777777" w:rsidR="00600165" w:rsidRDefault="00600165" w:rsidP="00423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30D35" w14:textId="77777777" w:rsidR="00600165" w:rsidRDefault="00600165" w:rsidP="004230CD">
      <w:pPr>
        <w:spacing w:after="0" w:line="240" w:lineRule="auto"/>
      </w:pPr>
      <w:r>
        <w:separator/>
      </w:r>
    </w:p>
  </w:footnote>
  <w:footnote w:type="continuationSeparator" w:id="0">
    <w:p w14:paraId="49C3DEEA" w14:textId="77777777" w:rsidR="00600165" w:rsidRDefault="00600165" w:rsidP="004230CD">
      <w:pPr>
        <w:spacing w:after="0" w:line="240" w:lineRule="auto"/>
      </w:pPr>
      <w:r>
        <w:continuationSeparator/>
      </w:r>
    </w:p>
  </w:footnote>
  <w:footnote w:id="1">
    <w:p w14:paraId="6F02F5CC" w14:textId="75DFD567" w:rsidR="000C1CF1" w:rsidRDefault="000C1CF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4957FA">
        <w:t>Credit for the idea to put the rule first goes to</w:t>
      </w:r>
      <w:r>
        <w:t xml:space="preserve"> Erica Lux, </w:t>
      </w:r>
      <w:r w:rsidRPr="000C1CF1">
        <w:t>Director of Academic &amp; Bar Success Programs</w:t>
      </w:r>
      <w:r>
        <w:t>, Texas Tech School of Law.</w:t>
      </w:r>
    </w:p>
  </w:footnote>
  <w:footnote w:id="2">
    <w:p w14:paraId="5961AF83" w14:textId="1C3465AC" w:rsidR="00557408" w:rsidRDefault="00557408">
      <w:pPr>
        <w:pStyle w:val="FootnoteText"/>
      </w:pPr>
      <w:r>
        <w:rPr>
          <w:rStyle w:val="FootnoteReference"/>
        </w:rPr>
        <w:footnoteRef/>
      </w:r>
      <w:r>
        <w:t xml:space="preserve"> If you want to read the original case and compare it to my brief, it is</w:t>
      </w:r>
      <w:r w:rsidR="00E167FB">
        <w:t xml:space="preserve"> </w:t>
      </w:r>
      <w:hyperlink r:id="rId1" w:history="1">
        <w:r w:rsidR="005F16A9" w:rsidRPr="00F51E1D">
          <w:rPr>
            <w:rStyle w:val="Hyperlink"/>
            <w:i/>
            <w:iCs/>
          </w:rPr>
          <w:t>People v. Stewart</w:t>
        </w:r>
        <w:r w:rsidR="005F16A9" w:rsidRPr="005F16A9">
          <w:rPr>
            <w:rStyle w:val="Hyperlink"/>
          </w:rPr>
          <w:t xml:space="preserve">, </w:t>
        </w:r>
        <w:r w:rsidR="00971B0B" w:rsidRPr="005F16A9">
          <w:rPr>
            <w:rStyle w:val="Hyperlink"/>
          </w:rPr>
          <w:t>55 P.3d 107 (</w:t>
        </w:r>
        <w:r w:rsidR="006E19F3" w:rsidRPr="005F16A9">
          <w:rPr>
            <w:rStyle w:val="Hyperlink"/>
          </w:rPr>
          <w:t>Colo. 2002) (</w:t>
        </w:r>
        <w:proofErr w:type="spellStart"/>
        <w:r w:rsidR="006E19F3" w:rsidRPr="005F16A9">
          <w:rPr>
            <w:rStyle w:val="Hyperlink"/>
          </w:rPr>
          <w:t>en</w:t>
        </w:r>
        <w:proofErr w:type="spellEnd"/>
        <w:r w:rsidR="006E19F3" w:rsidRPr="005F16A9">
          <w:rPr>
            <w:rStyle w:val="Hyperlink"/>
          </w:rPr>
          <w:t xml:space="preserve"> banc)</w:t>
        </w:r>
      </w:hyperlink>
      <w:r w:rsidR="006E19F3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0D934" w14:textId="1B80AE89" w:rsidR="00601221" w:rsidRPr="0088387A" w:rsidRDefault="00601221" w:rsidP="00F42949">
    <w:pPr>
      <w:rPr>
        <w:b/>
        <w:bCs/>
        <w:sz w:val="4"/>
        <w:szCs w:val="4"/>
      </w:rPr>
    </w:pPr>
    <w:r>
      <w:rPr>
        <w:noProof/>
      </w:rPr>
      <w:drawing>
        <wp:inline distT="0" distB="0" distL="0" distR="0" wp14:anchorId="02125A45" wp14:editId="37820BA3">
          <wp:extent cx="777240" cy="777240"/>
          <wp:effectExtent l="0" t="0" r="3810" b="381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544C5"/>
    <w:multiLevelType w:val="hybridMultilevel"/>
    <w:tmpl w:val="60CCD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F5899"/>
    <w:multiLevelType w:val="hybridMultilevel"/>
    <w:tmpl w:val="52B07F22"/>
    <w:lvl w:ilvl="0" w:tplc="BF440EEE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B0212C"/>
    <w:multiLevelType w:val="hybridMultilevel"/>
    <w:tmpl w:val="988E22EA"/>
    <w:lvl w:ilvl="0" w:tplc="CB7E4D0E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7911B6"/>
    <w:multiLevelType w:val="hybridMultilevel"/>
    <w:tmpl w:val="34E47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8994882">
    <w:abstractNumId w:val="3"/>
  </w:num>
  <w:num w:numId="2" w16cid:durableId="714085232">
    <w:abstractNumId w:val="2"/>
  </w:num>
  <w:num w:numId="3" w16cid:durableId="2137403869">
    <w:abstractNumId w:val="0"/>
  </w:num>
  <w:num w:numId="4" w16cid:durableId="21377227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501"/>
    <w:rsid w:val="00061501"/>
    <w:rsid w:val="000B1AC1"/>
    <w:rsid w:val="000C1CF1"/>
    <w:rsid w:val="000C5A9C"/>
    <w:rsid w:val="000D2E1F"/>
    <w:rsid w:val="00142658"/>
    <w:rsid w:val="00145EEA"/>
    <w:rsid w:val="00164A55"/>
    <w:rsid w:val="00174E22"/>
    <w:rsid w:val="00224CDF"/>
    <w:rsid w:val="00277A2E"/>
    <w:rsid w:val="002A2F1C"/>
    <w:rsid w:val="002F1589"/>
    <w:rsid w:val="003630E0"/>
    <w:rsid w:val="0036425C"/>
    <w:rsid w:val="00367006"/>
    <w:rsid w:val="00421C94"/>
    <w:rsid w:val="004230CD"/>
    <w:rsid w:val="00490413"/>
    <w:rsid w:val="004957FA"/>
    <w:rsid w:val="004F6258"/>
    <w:rsid w:val="0051696D"/>
    <w:rsid w:val="00557408"/>
    <w:rsid w:val="005701F7"/>
    <w:rsid w:val="005F16A9"/>
    <w:rsid w:val="00600165"/>
    <w:rsid w:val="00601221"/>
    <w:rsid w:val="006E19F3"/>
    <w:rsid w:val="006E5000"/>
    <w:rsid w:val="006F2A95"/>
    <w:rsid w:val="007343E6"/>
    <w:rsid w:val="00743646"/>
    <w:rsid w:val="0076730C"/>
    <w:rsid w:val="007B0EE8"/>
    <w:rsid w:val="0080241D"/>
    <w:rsid w:val="00802EFE"/>
    <w:rsid w:val="00805051"/>
    <w:rsid w:val="0088387A"/>
    <w:rsid w:val="0088640D"/>
    <w:rsid w:val="008E028F"/>
    <w:rsid w:val="009139C1"/>
    <w:rsid w:val="00971B0B"/>
    <w:rsid w:val="009A21D5"/>
    <w:rsid w:val="009E3CB3"/>
    <w:rsid w:val="00A10C8A"/>
    <w:rsid w:val="00A24073"/>
    <w:rsid w:val="00B43575"/>
    <w:rsid w:val="00B55E65"/>
    <w:rsid w:val="00D14D20"/>
    <w:rsid w:val="00D8069B"/>
    <w:rsid w:val="00DA42D2"/>
    <w:rsid w:val="00DD4139"/>
    <w:rsid w:val="00DF716E"/>
    <w:rsid w:val="00E167FB"/>
    <w:rsid w:val="00E27021"/>
    <w:rsid w:val="00E43B5E"/>
    <w:rsid w:val="00EB6A89"/>
    <w:rsid w:val="00F42949"/>
    <w:rsid w:val="00F51E1D"/>
    <w:rsid w:val="00F814FF"/>
    <w:rsid w:val="00F81F17"/>
    <w:rsid w:val="00FA4164"/>
    <w:rsid w:val="00FC0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7AACAC"/>
  <w15:chartTrackingRefBased/>
  <w15:docId w15:val="{CA2F78B1-56CD-4AF7-901B-B1FB38BF1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0CD"/>
  </w:style>
  <w:style w:type="paragraph" w:styleId="Heading1">
    <w:name w:val="heading 1"/>
    <w:basedOn w:val="Normal"/>
    <w:next w:val="Normal"/>
    <w:link w:val="Heading1Char"/>
    <w:uiPriority w:val="9"/>
    <w:qFormat/>
    <w:rsid w:val="000615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15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15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15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15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15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15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15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15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15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15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15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15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15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15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15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15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15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15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15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15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15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15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15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15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15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5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5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150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230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30CD"/>
  </w:style>
  <w:style w:type="paragraph" w:styleId="Footer">
    <w:name w:val="footer"/>
    <w:basedOn w:val="Normal"/>
    <w:link w:val="FooterChar"/>
    <w:uiPriority w:val="99"/>
    <w:unhideWhenUsed/>
    <w:rsid w:val="004230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0CD"/>
  </w:style>
  <w:style w:type="paragraph" w:styleId="FootnoteText">
    <w:name w:val="footnote text"/>
    <w:basedOn w:val="Normal"/>
    <w:link w:val="FootnoteTextChar"/>
    <w:uiPriority w:val="99"/>
    <w:semiHidden/>
    <w:unhideWhenUsed/>
    <w:rsid w:val="000C1CF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C1C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C1CF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F158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158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012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Spacing">
    <w:name w:val="No Spacing"/>
    <w:uiPriority w:val="1"/>
    <w:qFormat/>
    <w:rsid w:val="00B55E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case-law.vlex.com/vid/people-v-stewart-no-88588348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0365A-088E-4727-AA47-5E0772B8C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402</Words>
  <Characters>2294</Characters>
  <Application>Microsoft Office Word</Application>
  <DocSecurity>0</DocSecurity>
  <Lines>19</Lines>
  <Paragraphs>5</Paragraphs>
  <ScaleCrop>false</ScaleCrop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Dragnich</dc:creator>
  <cp:keywords/>
  <dc:description/>
  <cp:lastModifiedBy>Alyssa Dragnich</cp:lastModifiedBy>
  <cp:revision>38</cp:revision>
  <dcterms:created xsi:type="dcterms:W3CDTF">2026-06-10T23:28:00Z</dcterms:created>
  <dcterms:modified xsi:type="dcterms:W3CDTF">2026-09-01T18:32:00Z</dcterms:modified>
</cp:coreProperties>
</file>